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10" w:rsidRDefault="00790E10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B0B05" w:rsidRPr="00790E10" w:rsidRDefault="000B0B05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225FC4" w:rsidRPr="00790E10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790E10" w:rsidRPr="00790E10" w:rsidRDefault="00790E10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790E10" w:rsidRPr="00790E10" w:rsidRDefault="00790E10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A3562" w:rsidRDefault="000B0B05" w:rsidP="000B0B0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790E10">
        <w:rPr>
          <w:rFonts w:ascii="Times New Roman" w:hAnsi="Times New Roman"/>
          <w:b/>
          <w:sz w:val="42"/>
          <w:szCs w:val="42"/>
        </w:rPr>
        <w:t>ПО.01.</w:t>
      </w:r>
      <w:r w:rsidR="007A3562" w:rsidRPr="00790E10">
        <w:rPr>
          <w:rFonts w:ascii="Times New Roman" w:hAnsi="Times New Roman"/>
          <w:b/>
          <w:sz w:val="42"/>
          <w:szCs w:val="42"/>
        </w:rPr>
        <w:t>УП.01.</w:t>
      </w:r>
      <w:r w:rsidR="00685A37">
        <w:rPr>
          <w:rFonts w:ascii="Times New Roman" w:hAnsi="Times New Roman"/>
          <w:b/>
          <w:sz w:val="42"/>
          <w:szCs w:val="42"/>
        </w:rPr>
        <w:t xml:space="preserve"> </w:t>
      </w:r>
      <w:r w:rsidR="007A3562" w:rsidRPr="00790E10">
        <w:rPr>
          <w:rFonts w:ascii="Times New Roman" w:hAnsi="Times New Roman"/>
          <w:b/>
          <w:sz w:val="42"/>
          <w:szCs w:val="42"/>
        </w:rPr>
        <w:t xml:space="preserve">СПЕЦИАЛЬНОСТЬ </w:t>
      </w:r>
    </w:p>
    <w:p w:rsidR="00685A37" w:rsidRPr="00790E10" w:rsidRDefault="00685A37" w:rsidP="000B0B0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(кларнет)</w:t>
      </w:r>
    </w:p>
    <w:p w:rsidR="007A3562" w:rsidRDefault="007A3562" w:rsidP="000B0B05">
      <w:pPr>
        <w:pStyle w:val="ac"/>
        <w:shd w:val="clear" w:color="auto" w:fill="FFFFFF"/>
        <w:spacing w:line="240" w:lineRule="auto"/>
        <w:ind w:right="120"/>
        <w:jc w:val="center"/>
      </w:pPr>
    </w:p>
    <w:p w:rsidR="007A3562" w:rsidRDefault="007A3562" w:rsidP="000B0B05">
      <w:pPr>
        <w:pStyle w:val="ac"/>
        <w:shd w:val="clear" w:color="auto" w:fill="FFFFFF"/>
        <w:spacing w:line="240" w:lineRule="auto"/>
        <w:ind w:left="5800"/>
        <w:rPr>
          <w:rFonts w:cs="Times New Roman"/>
          <w:sz w:val="28"/>
          <w:szCs w:val="28"/>
        </w:rPr>
      </w:pPr>
    </w:p>
    <w:p w:rsidR="007A3562" w:rsidRDefault="007A3562" w:rsidP="000B0B05">
      <w:pPr>
        <w:pStyle w:val="ac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rFonts w:cs="Times New Roman"/>
          <w:sz w:val="28"/>
          <w:szCs w:val="28"/>
        </w:rPr>
      </w:pPr>
    </w:p>
    <w:p w:rsidR="007A3562" w:rsidRDefault="007A3562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7A3562" w:rsidRPr="00225FC4" w:rsidRDefault="007A3562" w:rsidP="000B0B05">
      <w:pPr>
        <w:pStyle w:val="ac"/>
        <w:shd w:val="clear" w:color="auto" w:fill="FFFFFF"/>
        <w:spacing w:line="240" w:lineRule="auto"/>
        <w:ind w:right="120"/>
        <w:jc w:val="center"/>
        <w:rPr>
          <w:b/>
          <w:sz w:val="28"/>
          <w:szCs w:val="28"/>
        </w:rPr>
      </w:pPr>
      <w:r w:rsidRPr="00225FC4">
        <w:rPr>
          <w:b/>
          <w:sz w:val="28"/>
          <w:szCs w:val="28"/>
        </w:rPr>
        <w:t>М</w:t>
      </w:r>
      <w:r w:rsidR="000B0B05" w:rsidRPr="00225FC4">
        <w:rPr>
          <w:b/>
          <w:sz w:val="28"/>
          <w:szCs w:val="28"/>
        </w:rPr>
        <w:t>осква</w:t>
      </w:r>
      <w:r w:rsidRPr="00225FC4">
        <w:rPr>
          <w:b/>
          <w:sz w:val="28"/>
          <w:szCs w:val="28"/>
        </w:rPr>
        <w:t xml:space="preserve"> 201</w:t>
      </w:r>
      <w:r w:rsidR="002C0DF7">
        <w:rPr>
          <w:b/>
          <w:sz w:val="28"/>
          <w:szCs w:val="28"/>
        </w:rPr>
        <w:t>2</w:t>
      </w:r>
    </w:p>
    <w:p w:rsidR="007A3562" w:rsidRDefault="007A3562" w:rsidP="000B0B05">
      <w:pPr>
        <w:spacing w:before="28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575A" w:rsidRDefault="009B4646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 w:rsidR="00AD575A">
        <w:rPr>
          <w:rFonts w:ascii="Times New Roman" w:eastAsia="Times New Roman" w:hAnsi="Times New Roman"/>
          <w:sz w:val="28"/>
          <w:szCs w:val="28"/>
        </w:rPr>
        <w:t>и</w:t>
      </w:r>
      <w:r w:rsidR="00225FC4">
        <w:rPr>
          <w:rFonts w:ascii="Times New Roman" w:eastAsia="Times New Roman" w:hAnsi="Times New Roman"/>
          <w:sz w:val="28"/>
          <w:szCs w:val="28"/>
        </w:rPr>
        <w:t>:</w:t>
      </w:r>
      <w:r w:rsidR="000F7F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40AA" w:rsidRDefault="007740AA" w:rsidP="0077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4A">
        <w:rPr>
          <w:rFonts w:ascii="Times New Roman" w:eastAsia="Times New Roman" w:hAnsi="Times New Roman"/>
          <w:b/>
          <w:sz w:val="28"/>
          <w:szCs w:val="28"/>
        </w:rPr>
        <w:t>А.В.</w:t>
      </w:r>
      <w:r>
        <w:rPr>
          <w:rFonts w:ascii="Times New Roman" w:eastAsia="Times New Roman" w:hAnsi="Times New Roman"/>
          <w:b/>
          <w:sz w:val="28"/>
          <w:szCs w:val="28"/>
        </w:rPr>
        <w:t>Валов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B4646">
        <w:rPr>
          <w:rFonts w:ascii="Times New Roman" w:hAnsi="Times New Roman" w:cs="Times New Roman"/>
          <w:sz w:val="28"/>
          <w:szCs w:val="28"/>
        </w:rPr>
        <w:t>заведующий отделом духовых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46">
        <w:rPr>
          <w:rFonts w:ascii="Times New Roman" w:hAnsi="Times New Roman" w:cs="Times New Roman"/>
          <w:sz w:val="28"/>
          <w:szCs w:val="28"/>
        </w:rPr>
        <w:t xml:space="preserve">ударных инструментов </w:t>
      </w:r>
      <w:r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Pr="009B464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кадемического музыкального колледжа </w:t>
      </w:r>
      <w:r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646">
        <w:rPr>
          <w:rFonts w:ascii="Times New Roman" w:hAnsi="Times New Roman" w:cs="Times New Roman"/>
          <w:sz w:val="28"/>
          <w:szCs w:val="28"/>
        </w:rPr>
        <w:t xml:space="preserve">реподаватель,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9B4646">
        <w:rPr>
          <w:rFonts w:ascii="Times New Roman" w:hAnsi="Times New Roman" w:cs="Times New Roman"/>
          <w:sz w:val="28"/>
          <w:szCs w:val="28"/>
        </w:rPr>
        <w:t>аслуженный работник культуры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B46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AD575A" w:rsidRPr="00AD575A" w:rsidRDefault="002C0DF7" w:rsidP="002A0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</w:t>
      </w:r>
      <w:r w:rsidR="00AD575A" w:rsidRPr="004474DF">
        <w:rPr>
          <w:rFonts w:ascii="Times New Roman" w:hAnsi="Times New Roman"/>
          <w:b/>
          <w:sz w:val="28"/>
          <w:szCs w:val="28"/>
        </w:rPr>
        <w:t>Казакова</w:t>
      </w:r>
      <w:r w:rsidR="00AD575A" w:rsidRPr="004474DF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AD575A" w:rsidRPr="004474DF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AD575A" w:rsidRPr="004474DF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9B4646" w:rsidRDefault="009B4646" w:rsidP="00AD575A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FC4" w:rsidRDefault="00225FC4" w:rsidP="00225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2C0DF7">
        <w:rPr>
          <w:rFonts w:ascii="Times New Roman" w:hAnsi="Times New Roman" w:cs="Times New Roman"/>
          <w:b/>
          <w:sz w:val="28"/>
          <w:szCs w:val="28"/>
        </w:rPr>
        <w:t>И.Е.</w:t>
      </w:r>
      <w:r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2C0DF7">
        <w:rPr>
          <w:rFonts w:ascii="Times New Roman" w:hAnsi="Times New Roman" w:cs="Times New Roman"/>
          <w:sz w:val="28"/>
          <w:szCs w:val="28"/>
        </w:rPr>
        <w:t>,</w:t>
      </w:r>
      <w:r w:rsidR="00D931D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225FC4" w:rsidRDefault="00225FC4" w:rsidP="00225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2C0DF7">
        <w:rPr>
          <w:rFonts w:ascii="Times New Roman" w:hAnsi="Times New Roman" w:cs="Times New Roman"/>
          <w:b/>
          <w:sz w:val="28"/>
          <w:szCs w:val="28"/>
        </w:rPr>
        <w:t>О.И.</w:t>
      </w:r>
      <w:r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9475E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 w:rsidR="0029475E">
        <w:rPr>
          <w:rFonts w:ascii="Times New Roman" w:hAnsi="Times New Roman" w:cs="Times New Roman"/>
          <w:sz w:val="28"/>
          <w:szCs w:val="28"/>
        </w:rPr>
        <w:t>ени  Гнесиных</w:t>
      </w:r>
    </w:p>
    <w:p w:rsidR="009B4646" w:rsidRDefault="009B4646" w:rsidP="00225FC4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225FC4">
        <w:rPr>
          <w:rFonts w:ascii="Times New Roman" w:hAnsi="Times New Roman" w:cs="Times New Roman"/>
          <w:sz w:val="28"/>
          <w:szCs w:val="28"/>
        </w:rPr>
        <w:t xml:space="preserve">: </w:t>
      </w:r>
      <w:r w:rsidR="000F7F4A" w:rsidRPr="009B4646">
        <w:rPr>
          <w:rFonts w:ascii="Times New Roman" w:hAnsi="Times New Roman" w:cs="Times New Roman"/>
          <w:b/>
          <w:sz w:val="28"/>
          <w:szCs w:val="28"/>
        </w:rPr>
        <w:t>Р.О.</w:t>
      </w:r>
      <w:r w:rsidRPr="009B4646">
        <w:rPr>
          <w:rFonts w:ascii="Times New Roman" w:hAnsi="Times New Roman" w:cs="Times New Roman"/>
          <w:b/>
          <w:sz w:val="28"/>
          <w:szCs w:val="28"/>
        </w:rPr>
        <w:t>Багдасарян</w:t>
      </w:r>
      <w:r w:rsidR="00225FC4">
        <w:rPr>
          <w:rFonts w:ascii="Times New Roman" w:hAnsi="Times New Roman" w:cs="Times New Roman"/>
          <w:sz w:val="28"/>
          <w:szCs w:val="28"/>
        </w:rPr>
        <w:t xml:space="preserve">, </w:t>
      </w:r>
      <w:r w:rsidR="00AD575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AD575A">
        <w:rPr>
          <w:rFonts w:ascii="Times New Roman" w:hAnsi="Times New Roman"/>
          <w:bCs/>
          <w:color w:val="000000"/>
          <w:sz w:val="28"/>
          <w:szCs w:val="28"/>
        </w:rPr>
        <w:t xml:space="preserve">Московской государственной консерватории имени П.И.Чайковского, </w:t>
      </w:r>
      <w:r w:rsidR="003B7F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ародный артист Р</w:t>
      </w:r>
      <w:r w:rsidR="00225FC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25FC4">
        <w:rPr>
          <w:rFonts w:ascii="Times New Roman" w:hAnsi="Times New Roman" w:cs="Times New Roman"/>
          <w:sz w:val="28"/>
          <w:szCs w:val="28"/>
        </w:rPr>
        <w:t>едерации</w:t>
      </w:r>
    </w:p>
    <w:p w:rsidR="009B4646" w:rsidRPr="009B4646" w:rsidRDefault="009B4646" w:rsidP="00225FC4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646" w:rsidRPr="009B4646" w:rsidRDefault="009B4646" w:rsidP="00225FC4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>
      <w:pPr>
        <w:sectPr w:rsidR="007A3562" w:rsidSect="0029475E">
          <w:footerReference w:type="default" r:id="rId7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7A3562" w:rsidRDefault="007A3562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bookmark0"/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7A3562" w:rsidRDefault="007A3562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A3562" w:rsidRDefault="00805A50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учреждения на реализацию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3562" w:rsidRDefault="003E52BD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Цель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задачи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C1E44" w:rsidRDefault="007C1E44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6B57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Формы и м</w:t>
      </w:r>
      <w:r w:rsidR="00426B5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етоды контроля, система оценок </w:t>
      </w:r>
    </w:p>
    <w:p w:rsidR="00426B57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426B57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3562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7A3562" w:rsidRDefault="00426B57" w:rsidP="00426B57">
      <w:pPr>
        <w:widowControl w:val="0"/>
        <w:tabs>
          <w:tab w:val="left" w:pos="2280"/>
        </w:tabs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D931D6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426B57" w:rsidRPr="00426B57" w:rsidRDefault="007A3562" w:rsidP="00426B57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3562" w:rsidRDefault="007A3562" w:rsidP="00426B57">
      <w:pPr>
        <w:widowControl w:val="0"/>
        <w:spacing w:after="0" w:line="100" w:lineRule="atLeast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нотной литературы;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</w:t>
      </w:r>
      <w:r w:rsidR="00805A50">
        <w:rPr>
          <w:rFonts w:ascii="Times New Roman" w:eastAsia="Times New Roman" w:hAnsi="Times New Roman"/>
          <w:i/>
          <w:color w:val="000000"/>
          <w:sz w:val="24"/>
          <w:szCs w:val="24"/>
        </w:rPr>
        <w:t>ндуемой методической литературы</w:t>
      </w: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0"/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ПОЯСНИТЕЛЬНАЯ ЗАПИСКА</w:t>
      </w:r>
    </w:p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ind w:left="-11" w:firstLine="729"/>
        <w:jc w:val="both"/>
        <w:rPr>
          <w:rFonts w:ascii="Times New Roman" w:hAnsi="Times New Roman"/>
          <w:sz w:val="28"/>
          <w:szCs w:val="28"/>
        </w:rPr>
      </w:pPr>
      <w:r w:rsidRPr="007C1E44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7C1E44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5A50">
        <w:rPr>
          <w:rFonts w:ascii="Times New Roman" w:hAnsi="Times New Roman"/>
          <w:sz w:val="28"/>
          <w:szCs w:val="28"/>
        </w:rPr>
        <w:t>по виду инструмента «к</w:t>
      </w:r>
      <w:r w:rsidR="007C1E44">
        <w:rPr>
          <w:rFonts w:ascii="Times New Roman" w:hAnsi="Times New Roman"/>
          <w:sz w:val="28"/>
          <w:szCs w:val="28"/>
        </w:rPr>
        <w:t xml:space="preserve">ларнет», далее - «Специальность (кларнет)», </w:t>
      </w:r>
      <w:r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музыкального искусства «Духовые и ударные инструменты».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</w:t>
      </w:r>
      <w:r w:rsidR="007C1E44">
        <w:rPr>
          <w:rFonts w:ascii="Times New Roman" w:hAnsi="Times New Roman"/>
          <w:sz w:val="28"/>
          <w:szCs w:val="28"/>
        </w:rPr>
        <w:t>Специальность (к</w:t>
      </w:r>
      <w:r>
        <w:rPr>
          <w:rFonts w:ascii="Times New Roman" w:hAnsi="Times New Roman"/>
          <w:sz w:val="28"/>
          <w:szCs w:val="28"/>
        </w:rPr>
        <w:t>ларнет</w:t>
      </w:r>
      <w:r w:rsidR="007C1E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направлен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7A3562" w:rsidRDefault="007A3562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десяти до двенадцати лет, составляет 5 лет.</w:t>
      </w:r>
    </w:p>
    <w:p w:rsidR="007A3562" w:rsidRDefault="007A356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(кларнет)»: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4360"/>
        <w:gridCol w:w="1558"/>
        <w:gridCol w:w="1134"/>
        <w:gridCol w:w="1133"/>
        <w:gridCol w:w="1136"/>
      </w:tblGrid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2C30EF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1138,5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445,5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2C30E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</w:p>
        </w:tc>
      </w:tr>
    </w:tbl>
    <w:p w:rsidR="007A3562" w:rsidRDefault="007A3562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рекомендуемая продолжительность урока -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45 минут.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805A50">
        <w:rPr>
          <w:rFonts w:ascii="Times New Roman" w:hAnsi="Times New Roman"/>
          <w:bCs/>
          <w:sz w:val="28"/>
          <w:szCs w:val="28"/>
        </w:rPr>
        <w:t xml:space="preserve">занятий </w:t>
      </w:r>
      <w:r>
        <w:rPr>
          <w:rFonts w:ascii="Times New Roman" w:hAnsi="Times New Roman"/>
          <w:bCs/>
          <w:sz w:val="28"/>
          <w:szCs w:val="28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A3562" w:rsidRDefault="003E52B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7A3562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 </w:t>
      </w:r>
    </w:p>
    <w:p w:rsidR="007A3562" w:rsidRPr="003E52BD" w:rsidRDefault="003E52BD" w:rsidP="00D931D6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7A3562">
        <w:rPr>
          <w:rFonts w:ascii="Times New Roman" w:hAnsi="Times New Roman"/>
          <w:bCs/>
          <w:sz w:val="28"/>
          <w:szCs w:val="28"/>
        </w:rPr>
        <w:t xml:space="preserve">: </w:t>
      </w:r>
      <w:r w:rsidR="007A356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7A3562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7A3562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</w:t>
      </w:r>
      <w:r w:rsidR="00805A50">
        <w:rPr>
          <w:rFonts w:ascii="Times New Roman" w:hAnsi="Times New Roman" w:cs="Times New Roman"/>
          <w:sz w:val="28"/>
          <w:szCs w:val="28"/>
        </w:rPr>
        <w:t>, позволяющих воспринимать, осваивать и исполнять на кларнете произведения различных жанров и форм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3562" w:rsidRPr="003E52BD">
        <w:rPr>
          <w:rFonts w:ascii="Times New Roman" w:hAnsi="Times New Roman" w:cs="Times New Roman"/>
          <w:sz w:val="28"/>
          <w:szCs w:val="28"/>
        </w:rPr>
        <w:t>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05A50" w:rsidRPr="003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профилю предмета</w:t>
      </w:r>
      <w:r w:rsidR="007A3562" w:rsidRPr="003E52BD">
        <w:rPr>
          <w:rFonts w:ascii="Times New Roman" w:hAnsi="Times New Roman" w:cs="Times New Roman"/>
          <w:sz w:val="28"/>
          <w:szCs w:val="28"/>
        </w:rPr>
        <w:t>.</w:t>
      </w:r>
    </w:p>
    <w:p w:rsidR="007A3562" w:rsidRDefault="007A3562">
      <w:pPr>
        <w:pStyle w:val="13"/>
        <w:spacing w:after="0" w:line="36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Задачи: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 творчеству;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кларнете;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3562" w:rsidRDefault="007A356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7A3562" w:rsidRDefault="007A356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учебного процесса. </w:t>
      </w:r>
    </w:p>
    <w:p w:rsidR="007A3562" w:rsidRDefault="007A3562">
      <w:pPr>
        <w:spacing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A3562" w:rsidRDefault="007A3562">
      <w:pPr>
        <w:pStyle w:val="ac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</w:t>
      </w:r>
      <w:r w:rsidRPr="00D35F22">
        <w:rPr>
          <w:bCs/>
          <w:sz w:val="28"/>
          <w:szCs w:val="28"/>
        </w:rPr>
        <w:t xml:space="preserve">);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35F22">
        <w:rPr>
          <w:bCs/>
          <w:sz w:val="28"/>
          <w:szCs w:val="28"/>
        </w:rPr>
        <w:t xml:space="preserve">- </w:t>
      </w:r>
      <w:proofErr w:type="gramStart"/>
      <w:r w:rsidRPr="00D35F22">
        <w:rPr>
          <w:bCs/>
          <w:sz w:val="28"/>
          <w:szCs w:val="28"/>
        </w:rPr>
        <w:t>наглядный</w:t>
      </w:r>
      <w:proofErr w:type="gramEnd"/>
      <w:r w:rsidRPr="00D35F22">
        <w:rPr>
          <w:bCs/>
          <w:sz w:val="28"/>
          <w:szCs w:val="28"/>
        </w:rPr>
        <w:t xml:space="preserve"> (наблюдение, демонстрация);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(упражнения воспроизводящие и творческие).</w:t>
      </w:r>
    </w:p>
    <w:p w:rsidR="007A3562" w:rsidRDefault="007A3562">
      <w:pPr>
        <w:spacing w:before="28"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7A3562" w:rsidRDefault="007A35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</w:t>
      </w:r>
      <w:r w:rsidR="00805A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 w:rsidP="00805A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A3562" w:rsidRDefault="007A356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затратах учебного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(кларнет)», на максимальную, самостоятельную нагрузку обучающихся и аудиторные занятия:</w:t>
      </w:r>
    </w:p>
    <w:p w:rsidR="00805A50" w:rsidRDefault="00805A50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left="7080" w:firstLine="70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Таблица 2</w:t>
      </w:r>
    </w:p>
    <w:p w:rsidR="007A3562" w:rsidRDefault="007A3562" w:rsidP="000B0B05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8 (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  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05A50" w:rsidRPr="00F02548" w:rsidTr="008C2C11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50" w:rsidRPr="00F02548" w:rsidRDefault="00805A50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 </w:t>
            </w:r>
            <w:proofErr w:type="spellStart"/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30ED9" w:rsidRDefault="00530ED9" w:rsidP="00530ED9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Таблица 3</w:t>
      </w:r>
    </w:p>
    <w:p w:rsidR="00530ED9" w:rsidRDefault="00530ED9" w:rsidP="00530ED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5 (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tbl>
      <w:tblPr>
        <w:tblW w:w="9476" w:type="dxa"/>
        <w:tblLayout w:type="fixed"/>
        <w:tblLook w:val="000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7A3562" w:rsidRDefault="007A3562" w:rsidP="00530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</w:t>
      </w:r>
      <w:r w:rsidR="00805A50">
        <w:rPr>
          <w:rFonts w:ascii="Times New Roman" w:hAnsi="Times New Roman"/>
          <w:sz w:val="28"/>
          <w:szCs w:val="28"/>
        </w:rPr>
        <w:t>аспределяется 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контрольным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92052D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- посещение учреждений культуры (филармоний, театров, концертных залов, музеев и др.);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</w:t>
      </w:r>
      <w:r w:rsidR="0092052D">
        <w:rPr>
          <w:rFonts w:ascii="Times New Roman" w:eastAsia="Times New Roman" w:hAnsi="Times New Roman"/>
          <w:i/>
          <w:sz w:val="28"/>
          <w:szCs w:val="28"/>
        </w:rPr>
        <w:t>разовательного учреждения и др.</w:t>
      </w:r>
      <w:proofErr w:type="gramEnd"/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Годовые требования по классам</w:t>
      </w:r>
    </w:p>
    <w:p w:rsidR="007A3562" w:rsidRDefault="007A3562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 обучения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9 лет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Первый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Аудиторные занятия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Консультации 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6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возрастные и индивидуальные особенности обучающихся на кларнете по восьмилетнему учебному плану, в первых двух классах рекомендуется обучение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  <w:r w:rsidR="0092052D">
        <w:rPr>
          <w:rFonts w:ascii="Times New Roman" w:hAnsi="Times New Roman"/>
          <w:sz w:val="28"/>
          <w:szCs w:val="28"/>
        </w:rPr>
        <w:t>Образовательное учреждение может планировать в конце учебного года переводной зачет.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дыхания при игре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sz w:val="28"/>
          <w:szCs w:val="28"/>
        </w:rPr>
        <w:t>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. М., 2004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для начинающих. Т.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 М., 2007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. / Составитель И. </w:t>
      </w: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>. М., 2002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Хрестоматия для </w:t>
      </w:r>
      <w:proofErr w:type="spellStart"/>
      <w:r>
        <w:rPr>
          <w:rFonts w:ascii="Times New Roman" w:hAnsi="Times New Roman"/>
          <w:b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Составитель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b/>
          <w:sz w:val="28"/>
          <w:szCs w:val="28"/>
        </w:rPr>
        <w:t>. М., 2002: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Хорал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«Зайка»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Русская народная песня «Во поле береза стояла»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Украинская народная песня «Ой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Майская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 В. Тень-тень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E713C7">
        <w:rPr>
          <w:rFonts w:ascii="Times New Roman" w:hAnsi="Times New Roman"/>
          <w:sz w:val="28"/>
          <w:szCs w:val="28"/>
        </w:rPr>
        <w:t>Экосез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b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b/>
          <w:sz w:val="28"/>
          <w:szCs w:val="28"/>
        </w:rPr>
        <w:t>. М., 2004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 Дятел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Витлин В. Кошечка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И., 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М. Колыбельная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Про Петю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Б. Кораблик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А.– Школа для начинающих. Ч.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</w:t>
      </w:r>
      <w:proofErr w:type="gramStart"/>
      <w:r>
        <w:rPr>
          <w:rFonts w:ascii="Times New Roman" w:hAnsi="Times New Roman"/>
          <w:sz w:val="28"/>
          <w:szCs w:val="28"/>
        </w:rPr>
        <w:t>песня «Про кота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</w:t>
      </w:r>
      <w:r w:rsidR="007A3562">
        <w:rPr>
          <w:rFonts w:ascii="Times New Roman" w:hAnsi="Times New Roman"/>
          <w:sz w:val="28"/>
          <w:szCs w:val="28"/>
        </w:rPr>
        <w:t xml:space="preserve"> народная песня «</w:t>
      </w:r>
      <w:proofErr w:type="spellStart"/>
      <w:r w:rsidR="007A3562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="007A3562"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Сурок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А. Зима (фрагмент)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Лойе</w:t>
      </w:r>
      <w:proofErr w:type="spellEnd"/>
      <w:r>
        <w:rPr>
          <w:rFonts w:ascii="Times New Roman" w:hAnsi="Times New Roman"/>
          <w:sz w:val="28"/>
          <w:szCs w:val="28"/>
        </w:rPr>
        <w:t xml:space="preserve"> Ж. Соната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Второй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  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Пьесы. Развитие навыков чтения с листа.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. М., 2004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>. М., 2002 (этюды 11-27)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Полонез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Веселый крестьянин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Мусоргский 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Гопак из оперы «</w:t>
      </w:r>
      <w:proofErr w:type="spellStart"/>
      <w:r>
        <w:rPr>
          <w:rFonts w:ascii="Times New Roman" w:hAnsi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ярмарка»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 Г. </w:t>
      </w:r>
      <w:proofErr w:type="spellStart"/>
      <w:r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 Серенада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Сладкая греза из «Детского альбома»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Грустная песенка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блокфлейте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Бриттен Б. </w:t>
      </w:r>
      <w:proofErr w:type="spellStart"/>
      <w:r>
        <w:rPr>
          <w:rFonts w:ascii="Times New Roman" w:hAnsi="Times New Roman"/>
          <w:sz w:val="28"/>
          <w:szCs w:val="28"/>
        </w:rPr>
        <w:t>Салли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Гарденс</w:t>
      </w:r>
      <w:proofErr w:type="spellEnd"/>
      <w:r>
        <w:rPr>
          <w:rFonts w:ascii="Times New Roman" w:hAnsi="Times New Roman"/>
          <w:sz w:val="28"/>
          <w:szCs w:val="28"/>
        </w:rPr>
        <w:t xml:space="preserve">  (Ирландская мелодия)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 Ю. Колыбельная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Итальянская песенка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7A3562" w:rsidRPr="00530ED9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А.– Школа для начинающих. Ч.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 Г. </w:t>
      </w:r>
      <w:proofErr w:type="spellStart"/>
      <w:r>
        <w:rPr>
          <w:rFonts w:ascii="Times New Roman" w:hAnsi="Times New Roman"/>
          <w:sz w:val="28"/>
          <w:szCs w:val="28"/>
        </w:rPr>
        <w:t>Бурре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Менуэт из Сонаты для гобоя и </w:t>
      </w:r>
      <w:proofErr w:type="spellStart"/>
      <w:r>
        <w:rPr>
          <w:rFonts w:ascii="Times New Roman" w:hAnsi="Times New Roman"/>
          <w:sz w:val="28"/>
          <w:szCs w:val="28"/>
        </w:rPr>
        <w:t>бассо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/>
          <w:sz w:val="28"/>
          <w:szCs w:val="28"/>
        </w:rPr>
        <w:t xml:space="preserve">  Г. Ария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Партиты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proofErr w:type="spellStart"/>
      <w:r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92052D" w:rsidRPr="00D931D6" w:rsidRDefault="0092052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Третий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Перевод учащегося с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кларнет.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9205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Фа и С</w:t>
      </w:r>
      <w:r w:rsidR="007A3562">
        <w:rPr>
          <w:rFonts w:ascii="Times New Roman" w:hAnsi="Times New Roman"/>
          <w:sz w:val="28"/>
          <w:szCs w:val="28"/>
        </w:rPr>
        <w:t xml:space="preserve">оль мажор, ми и ля минор в одну октаву.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Хроматическая гамма от ноты «ми» малой октавы до ноты «ми» первой октавы. 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этюдов (по нотам).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1987, раздел I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«Соловей </w:t>
      </w:r>
      <w:proofErr w:type="spellStart"/>
      <w:r>
        <w:rPr>
          <w:rFonts w:ascii="Times New Roman" w:hAnsi="Times New Roman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зеленом лугу»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«Ходит зайка по саду»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«Дровосек»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В. Прибаутка, колыбельная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Шуберт Ф.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Старинный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>
      <w:pPr>
        <w:spacing w:before="240"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«Соловей </w:t>
      </w:r>
      <w:proofErr w:type="spellStart"/>
      <w:r>
        <w:rPr>
          <w:rFonts w:ascii="Times New Roman" w:hAnsi="Times New Roman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«ми» малой октавы до ноты «ми» третьей октавы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92052D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этюды: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кларнете. М., 1983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Пьесы: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Маленькая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</w:t>
      </w:r>
      <w:r w:rsidR="0092052D">
        <w:rPr>
          <w:rFonts w:ascii="Times New Roman" w:hAnsi="Times New Roman"/>
          <w:sz w:val="28"/>
          <w:szCs w:val="28"/>
        </w:rPr>
        <w:t>берт Ф. Экос</w:t>
      </w:r>
      <w:r>
        <w:rPr>
          <w:rFonts w:ascii="Times New Roman" w:hAnsi="Times New Roman"/>
          <w:sz w:val="28"/>
          <w:szCs w:val="28"/>
        </w:rPr>
        <w:t>ез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Словацкий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Маленькая пряха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Волынка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Словацкий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  </w:t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гаммы, трезвучия, арпеджио в тональностях до двух знаков в умеренном темпе.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92052D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кларнете. М., 1983  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Прелюдия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Марш из оперы «Волшебная флейта»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А. Пастушок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Полька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Ю. Гопак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Ария с вариациями</w:t>
      </w:r>
    </w:p>
    <w:p w:rsidR="007A3562" w:rsidRDefault="007A3562">
      <w:pPr>
        <w:pStyle w:val="ac"/>
        <w:spacing w:line="360" w:lineRule="auto"/>
        <w:rPr>
          <w:rFonts w:eastAsia="Calibri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трех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уменьшенные септаккорды и их обращения.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92052D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2 часть.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Бах И.С. Прелюдия ре минор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 xml:space="preserve"> Д. Маленький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Седьмой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>8 часов в год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этюдов (по нотам). 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Штарк А. 40 этюдов. М.-Л., 1950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Ежедневные упражнения и этюды. М., 1991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А.–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В.–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–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Жига, ария, престо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Лефевр</w:t>
      </w:r>
      <w:proofErr w:type="spellEnd"/>
      <w:r>
        <w:rPr>
          <w:rFonts w:ascii="Times New Roman" w:hAnsi="Times New Roman"/>
          <w:sz w:val="28"/>
          <w:szCs w:val="28"/>
        </w:rPr>
        <w:t xml:space="preserve"> К. Соната №7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Кожелух</w:t>
      </w:r>
      <w:proofErr w:type="spellEnd"/>
      <w:r>
        <w:rPr>
          <w:rFonts w:ascii="Times New Roman" w:hAnsi="Times New Roman"/>
          <w:sz w:val="28"/>
          <w:szCs w:val="28"/>
        </w:rPr>
        <w:t xml:space="preserve"> И. Концерт </w:t>
      </w:r>
      <w:proofErr w:type="spellStart"/>
      <w:r>
        <w:rPr>
          <w:rFonts w:ascii="Times New Roman" w:hAnsi="Times New Roman"/>
          <w:sz w:val="28"/>
          <w:szCs w:val="28"/>
        </w:rPr>
        <w:t>Es-dur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Концерт. М., 1975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 xml:space="preserve">  “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426B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</w:t>
      </w:r>
      <w:r w:rsidR="007A3562">
        <w:rPr>
          <w:rFonts w:ascii="Times New Roman" w:hAnsi="Times New Roman"/>
          <w:sz w:val="28"/>
          <w:szCs w:val="28"/>
        </w:rPr>
        <w:t>. Адажио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Восьмой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801BFB" w:rsidRDefault="007A3562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 w:rsidR="00801BFB">
        <w:rPr>
          <w:sz w:val="28"/>
          <w:szCs w:val="28"/>
        </w:rPr>
        <w:lastRenderedPageBreak/>
        <w:t xml:space="preserve">итоговым </w:t>
      </w:r>
      <w:r>
        <w:rPr>
          <w:sz w:val="28"/>
          <w:szCs w:val="28"/>
        </w:rPr>
        <w:t xml:space="preserve">экзаменом учащийся обыгрывает выпускную программу на зачетах, классных вечерах и концертах.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 (по нотам). 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Медыньш</w:t>
      </w:r>
      <w:proofErr w:type="spellEnd"/>
      <w:r>
        <w:rPr>
          <w:rFonts w:ascii="Times New Roman" w:hAnsi="Times New Roman"/>
          <w:sz w:val="28"/>
          <w:szCs w:val="28"/>
        </w:rPr>
        <w:t xml:space="preserve"> Я. Романс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>
        <w:rPr>
          <w:rFonts w:ascii="Times New Roman" w:hAnsi="Times New Roman"/>
          <w:sz w:val="28"/>
          <w:szCs w:val="28"/>
        </w:rPr>
        <w:t>Дармштадтский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B-dur</w:t>
      </w:r>
      <w:proofErr w:type="spellEnd"/>
      <w:r>
        <w:rPr>
          <w:rFonts w:ascii="Times New Roman" w:hAnsi="Times New Roman"/>
          <w:sz w:val="28"/>
          <w:szCs w:val="28"/>
        </w:rPr>
        <w:t>. Киев, 1974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Концерт. М., 1930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А. Танцы русалок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Русский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>
        <w:rPr>
          <w:rFonts w:ascii="Times New Roman" w:hAnsi="Times New Roman"/>
          <w:sz w:val="28"/>
          <w:szCs w:val="28"/>
        </w:rPr>
        <w:t>Дармштадтский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B-dur</w:t>
      </w:r>
      <w:proofErr w:type="spellEnd"/>
      <w:r>
        <w:rPr>
          <w:rFonts w:ascii="Times New Roman" w:hAnsi="Times New Roman"/>
          <w:sz w:val="28"/>
          <w:szCs w:val="28"/>
        </w:rPr>
        <w:t>, II и III части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Русский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Концерт, II и III части</w:t>
      </w:r>
    </w:p>
    <w:p w:rsidR="00801BFB" w:rsidRDefault="00801BF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Девятый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</w:t>
      </w:r>
      <w:r w:rsidR="00FD675E">
        <w:rPr>
          <w:rFonts w:ascii="Times New Roman" w:hAnsi="Times New Roman"/>
          <w:sz w:val="28"/>
          <w:szCs w:val="28"/>
        </w:rPr>
        <w:t xml:space="preserve">учебном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801BFB">
        <w:rPr>
          <w:rFonts w:ascii="Times New Roman" w:hAnsi="Times New Roman"/>
          <w:sz w:val="28"/>
          <w:szCs w:val="28"/>
        </w:rPr>
        <w:t>зачет и 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декабре – крупная форма. На выпускной экзамен (итоговая аттестация) выносится программа с прибавлением пьесы.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 (по нотам).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тетрадь, </w:t>
      </w:r>
      <w:proofErr w:type="gramStart"/>
      <w:r>
        <w:rPr>
          <w:rFonts w:ascii="Times New Roman" w:hAnsi="Times New Roman"/>
          <w:sz w:val="28"/>
          <w:szCs w:val="28"/>
        </w:rPr>
        <w:t>М.,</w:t>
      </w:r>
      <w:proofErr w:type="gramEnd"/>
      <w:r>
        <w:rPr>
          <w:rFonts w:ascii="Times New Roman" w:hAnsi="Times New Roman"/>
          <w:sz w:val="28"/>
          <w:szCs w:val="28"/>
        </w:rPr>
        <w:t xml:space="preserve"> 1936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40 этюдов,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D931D6" w:rsidRDefault="00D931D6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С. Импровизация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Большая фантазия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фортепиано. М., 1954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Мессаже</w:t>
      </w:r>
      <w:proofErr w:type="spellEnd"/>
      <w:r>
        <w:rPr>
          <w:rFonts w:ascii="Times New Roman" w:hAnsi="Times New Roman"/>
          <w:sz w:val="28"/>
          <w:szCs w:val="28"/>
        </w:rPr>
        <w:t xml:space="preserve">  А. Конкурсное соло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части. М., 1969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Конкурсное соло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 Д. Адажио, вальс, скерцо. М., 1966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Скерцо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 w:rsidP="00D931D6">
      <w:pPr>
        <w:pStyle w:val="ac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Годовые требования по классам</w:t>
      </w:r>
    </w:p>
    <w:p w:rsidR="007A3562" w:rsidRDefault="007A3562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Срок обучения – 6 лет 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в тональностях до двух знаков в умеренном темпе.</w:t>
      </w:r>
    </w:p>
    <w:p w:rsidR="00FD675E" w:rsidRDefault="007A3562" w:rsidP="00FD67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Хроматическая гамма от ноты «ми» малой окта</w:t>
      </w:r>
      <w:r w:rsidR="00FD675E">
        <w:rPr>
          <w:rFonts w:ascii="Times New Roman" w:hAnsi="Times New Roman"/>
          <w:sz w:val="28"/>
          <w:szCs w:val="28"/>
        </w:rPr>
        <w:t xml:space="preserve">вы до ноты «ми» третьей октавы. </w:t>
      </w:r>
    </w:p>
    <w:p w:rsidR="007A3562" w:rsidRDefault="007A3562" w:rsidP="00FD67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 xml:space="preserve">няются штрихами </w:t>
      </w:r>
      <w:proofErr w:type="spellStart"/>
      <w:r w:rsidR="00FD675E">
        <w:rPr>
          <w:rFonts w:ascii="Times New Roman" w:hAnsi="Times New Roman"/>
          <w:sz w:val="28"/>
          <w:szCs w:val="28"/>
        </w:rPr>
        <w:t>деташе</w:t>
      </w:r>
      <w:proofErr w:type="spellEnd"/>
      <w:r w:rsidR="00FD675E">
        <w:rPr>
          <w:rFonts w:ascii="Times New Roman" w:hAnsi="Times New Roman"/>
          <w:sz w:val="28"/>
          <w:szCs w:val="28"/>
        </w:rPr>
        <w:t xml:space="preserve">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 (раздел I). М., 1987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«Соловей </w:t>
      </w:r>
      <w:proofErr w:type="spellStart"/>
      <w:r>
        <w:rPr>
          <w:rFonts w:ascii="Times New Roman" w:hAnsi="Times New Roman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Маленькая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Моцарт В.А. Маленькая пряха</w:t>
      </w:r>
    </w:p>
    <w:p w:rsidR="007A3562" w:rsidRDefault="007A35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Словацкий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 xml:space="preserve">няются штрихами </w:t>
      </w:r>
      <w:proofErr w:type="spellStart"/>
      <w:r w:rsidR="00FD675E">
        <w:rPr>
          <w:rFonts w:ascii="Times New Roman" w:hAnsi="Times New Roman"/>
          <w:sz w:val="28"/>
          <w:szCs w:val="28"/>
        </w:rPr>
        <w:t>деташе</w:t>
      </w:r>
      <w:proofErr w:type="spellEnd"/>
      <w:r w:rsidR="00FD675E">
        <w:rPr>
          <w:rFonts w:ascii="Times New Roman" w:hAnsi="Times New Roman"/>
          <w:sz w:val="28"/>
          <w:szCs w:val="28"/>
        </w:rPr>
        <w:t xml:space="preserve">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D931D6" w:rsidRDefault="00D931D6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Прелюдия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Марш из оперы «Волшебная флейта»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Пастушок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Полька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Гопак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 с вариациями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над постановкой губ, рук, корпуса, исполнительского дыхания.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 xml:space="preserve">няются штрихами </w:t>
      </w:r>
      <w:proofErr w:type="spellStart"/>
      <w:r w:rsidR="00FD675E">
        <w:rPr>
          <w:rFonts w:ascii="Times New Roman" w:hAnsi="Times New Roman"/>
          <w:sz w:val="28"/>
          <w:szCs w:val="28"/>
        </w:rPr>
        <w:t>деташе</w:t>
      </w:r>
      <w:proofErr w:type="spellEnd"/>
      <w:r w:rsidR="00FD675E">
        <w:rPr>
          <w:rFonts w:ascii="Times New Roman" w:hAnsi="Times New Roman"/>
          <w:sz w:val="28"/>
          <w:szCs w:val="28"/>
        </w:rPr>
        <w:t xml:space="preserve">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10-25 этюдов (по нотам). 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 w:rsidR="0053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Ежедневные упражнения и этюды. М., 1991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Прелюдия ре минор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 xml:space="preserve"> Д. Маленький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Четвертый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уменьшенные септаккорды и их обращения.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Ежедневные упражнения и этюды. М., 1991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Воронина В. 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Жига, ария, престо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Лефевр</w:t>
      </w:r>
      <w:proofErr w:type="spellEnd"/>
      <w:r>
        <w:rPr>
          <w:rFonts w:ascii="Times New Roman" w:hAnsi="Times New Roman"/>
          <w:sz w:val="28"/>
          <w:szCs w:val="28"/>
        </w:rPr>
        <w:t xml:space="preserve"> К. Соната №7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Кожелух</w:t>
      </w:r>
      <w:proofErr w:type="spellEnd"/>
      <w:r>
        <w:rPr>
          <w:rFonts w:ascii="Times New Roman" w:hAnsi="Times New Roman"/>
          <w:sz w:val="28"/>
          <w:szCs w:val="28"/>
        </w:rPr>
        <w:t xml:space="preserve"> И. Концерт </w:t>
      </w:r>
      <w:proofErr w:type="spellStart"/>
      <w:r>
        <w:rPr>
          <w:rFonts w:ascii="Times New Roman" w:hAnsi="Times New Roman"/>
          <w:sz w:val="28"/>
          <w:szCs w:val="28"/>
        </w:rPr>
        <w:t>Es-dur</w:t>
      </w:r>
      <w:proofErr w:type="spellEnd"/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Римский-Корсаков Н. Концерт. М., 1975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“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И.Х. Адажио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</w:t>
      </w:r>
      <w:r w:rsidR="00FD675E">
        <w:rPr>
          <w:rFonts w:ascii="Times New Roman" w:hAnsi="Times New Roman"/>
          <w:sz w:val="28"/>
          <w:szCs w:val="28"/>
        </w:rPr>
        <w:t>качественном</w:t>
      </w:r>
      <w:r>
        <w:rPr>
          <w:rFonts w:ascii="Times New Roman" w:hAnsi="Times New Roman"/>
          <w:sz w:val="28"/>
          <w:szCs w:val="28"/>
        </w:rPr>
        <w:t xml:space="preserve"> виде. Перед экзаменом учащийся обыгрывает выпускную программу на зачетах, классных вечерах и концертах.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FD675E" w:rsidRDefault="007A3562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пьесы </w:t>
      </w:r>
      <w:r w:rsidR="00530ED9">
        <w:rPr>
          <w:rFonts w:ascii="Times New Roman" w:hAnsi="Times New Roman"/>
          <w:sz w:val="28"/>
          <w:szCs w:val="28"/>
        </w:rPr>
        <w:t>и 1 произведение крупной формы.</w:t>
      </w:r>
    </w:p>
    <w:p w:rsidR="00530ED9" w:rsidRDefault="00530ED9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Медыньш</w:t>
      </w:r>
      <w:proofErr w:type="spellEnd"/>
      <w:r>
        <w:rPr>
          <w:rFonts w:ascii="Times New Roman" w:hAnsi="Times New Roman"/>
          <w:sz w:val="28"/>
          <w:szCs w:val="28"/>
        </w:rPr>
        <w:t xml:space="preserve">  Я. Романс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>
        <w:rPr>
          <w:rFonts w:ascii="Times New Roman" w:hAnsi="Times New Roman"/>
          <w:sz w:val="28"/>
          <w:szCs w:val="28"/>
        </w:rPr>
        <w:t>Дармштадтский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B-dur</w:t>
      </w:r>
      <w:proofErr w:type="spellEnd"/>
      <w:r>
        <w:rPr>
          <w:rFonts w:ascii="Times New Roman" w:hAnsi="Times New Roman"/>
          <w:sz w:val="28"/>
          <w:szCs w:val="28"/>
        </w:rPr>
        <w:t>. Киев, 1974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 Ф. Концерт. М., 1930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 А. Танцы русалок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 С. Восточный танец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 w:rsidR="007A3562"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 w:rsidR="007A3562">
        <w:rPr>
          <w:rFonts w:ascii="Times New Roman" w:hAnsi="Times New Roman"/>
          <w:sz w:val="28"/>
          <w:szCs w:val="28"/>
        </w:rPr>
        <w:t>Дармштадтский</w:t>
      </w:r>
      <w:proofErr w:type="spellEnd"/>
      <w:r w:rsidR="007A356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A3562">
        <w:rPr>
          <w:rFonts w:ascii="Times New Roman" w:hAnsi="Times New Roman"/>
          <w:sz w:val="28"/>
          <w:szCs w:val="28"/>
        </w:rPr>
        <w:t>B-dur</w:t>
      </w:r>
      <w:proofErr w:type="spellEnd"/>
      <w:r w:rsidR="007A3562">
        <w:rPr>
          <w:rFonts w:ascii="Times New Roman" w:hAnsi="Times New Roman"/>
          <w:sz w:val="28"/>
          <w:szCs w:val="28"/>
        </w:rPr>
        <w:t>, II и III части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Ф. Концерт, II и III части</w:t>
      </w:r>
    </w:p>
    <w:p w:rsidR="00FD675E" w:rsidRDefault="00FD675E" w:rsidP="00FD67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Учащийся, продолжающий обучение в 6 классе, сдает выпускной экзамен в 6 классе.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</w:t>
      </w:r>
      <w:r w:rsidR="00FD675E">
        <w:rPr>
          <w:rFonts w:ascii="Times New Roman" w:hAnsi="Times New Roman"/>
          <w:sz w:val="28"/>
          <w:szCs w:val="28"/>
        </w:rPr>
        <w:t>зачет и  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</w:t>
      </w:r>
      <w:r>
        <w:rPr>
          <w:rFonts w:ascii="Times New Roman" w:hAnsi="Times New Roman"/>
          <w:sz w:val="28"/>
          <w:szCs w:val="28"/>
        </w:rPr>
        <w:lastRenderedPageBreak/>
        <w:t xml:space="preserve">декабре – крупная форма. На выпускной экзамен (итоговая аттестация) выносится программа с дополнительной пьесой.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гаммами в тональностях до семи знаков (в медленном темпе).</w:t>
      </w:r>
    </w:p>
    <w:p w:rsidR="00FD675E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пьесы и 1 произведение крупной формы.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 w:rsidR="007A3562"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А. Этюды. М., 1968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</w:t>
      </w:r>
      <w:r w:rsidR="007A3562">
        <w:rPr>
          <w:rFonts w:ascii="Times New Roman" w:hAnsi="Times New Roman"/>
          <w:sz w:val="28"/>
          <w:szCs w:val="28"/>
        </w:rPr>
        <w:t xml:space="preserve">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 xml:space="preserve">Ф. 40 этюдов, </w:t>
      </w:r>
      <w:r w:rsidR="007A3562">
        <w:rPr>
          <w:rFonts w:ascii="Times New Roman" w:hAnsi="Times New Roman"/>
          <w:sz w:val="28"/>
          <w:szCs w:val="28"/>
          <w:lang w:val="en-US"/>
        </w:rPr>
        <w:t>III</w:t>
      </w:r>
      <w:r w:rsidR="007A3562"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 А. Хрестоматия педагогического репертуара. М., 1989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</w:t>
      </w:r>
      <w:r w:rsidR="007A3562">
        <w:rPr>
          <w:rFonts w:ascii="Times New Roman" w:hAnsi="Times New Roman"/>
          <w:sz w:val="28"/>
          <w:szCs w:val="28"/>
        </w:rPr>
        <w:t xml:space="preserve"> В. Нотная папка кларнетиста. М., 2006 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</w:t>
      </w:r>
      <w:r w:rsidR="007A3562">
        <w:rPr>
          <w:rFonts w:ascii="Times New Roman" w:hAnsi="Times New Roman"/>
          <w:sz w:val="28"/>
          <w:szCs w:val="28"/>
        </w:rPr>
        <w:t>С. Хрестоматия педагогического репертуара. С.-П., 2010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С. Импровизация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М. Каприс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Ф. Большая фантазия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 К. Вариации для кларнета и фортепиано. М., 1954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Мессаже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А. Конкурсное соло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</w:t>
      </w:r>
      <w:r w:rsidR="007A3562">
        <w:rPr>
          <w:rFonts w:ascii="Times New Roman" w:hAnsi="Times New Roman"/>
          <w:sz w:val="28"/>
          <w:szCs w:val="28"/>
        </w:rPr>
        <w:t xml:space="preserve">К. Концерт №1, II и </w:t>
      </w:r>
      <w:r w:rsidR="007A3562">
        <w:rPr>
          <w:rFonts w:ascii="Times New Roman" w:hAnsi="Times New Roman"/>
          <w:sz w:val="28"/>
          <w:szCs w:val="28"/>
          <w:lang w:val="en-US"/>
        </w:rPr>
        <w:t>III</w:t>
      </w:r>
      <w:r w:rsidR="007A3562">
        <w:rPr>
          <w:rFonts w:ascii="Times New Roman" w:hAnsi="Times New Roman"/>
          <w:sz w:val="28"/>
          <w:szCs w:val="28"/>
        </w:rPr>
        <w:t xml:space="preserve"> части. М., 1969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А. Конкурсное соло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Адажио, вальс, скерцо. М., 1966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Скерцо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 академическую направленность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A3562" w:rsidRDefault="007A3562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кларнета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репертуара для кларнета,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художественно-исполнительских возможностей кларнета;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профессиональной терминологии;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наличие умений по чтению с листа несложных музыкальных произведений;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работы в качестве солиста.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контроля, система оценок</w:t>
      </w:r>
    </w:p>
    <w:p w:rsidR="007A3562" w:rsidRDefault="007A3562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</w:t>
      </w:r>
      <w:r w:rsidR="00FD67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6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отношение </w:t>
      </w:r>
      <w:r w:rsidR="00FD675E">
        <w:rPr>
          <w:rFonts w:ascii="Times New Roman" w:eastAsia="Times New Roman" w:hAnsi="Times New Roman"/>
          <w:sz w:val="28"/>
          <w:szCs w:val="28"/>
        </w:rPr>
        <w:t>ученика</w:t>
      </w:r>
      <w:r>
        <w:rPr>
          <w:rFonts w:ascii="Times New Roman" w:eastAsia="Times New Roman" w:hAnsi="Times New Roman"/>
          <w:sz w:val="28"/>
          <w:szCs w:val="28"/>
        </w:rPr>
        <w:t xml:space="preserve"> к занятиям, его старания и прилежность;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инициативность и проявление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самостоятельности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 на уроке, так и во время домашней работы;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</w:t>
      </w:r>
      <w:r w:rsidR="00FD675E">
        <w:rPr>
          <w:rFonts w:ascii="Times New Roman" w:eastAsia="Times New Roman" w:hAnsi="Times New Roman"/>
          <w:sz w:val="28"/>
          <w:szCs w:val="28"/>
        </w:rPr>
        <w:t>(кларнет)</w:t>
      </w:r>
      <w:r>
        <w:rPr>
          <w:rFonts w:ascii="Times New Roman" w:eastAsia="Times New Roman" w:hAnsi="Times New Roman"/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 экзамену допускаются учащиеся, полностью выполнившие все учебные задания.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7A3562" w:rsidRPr="0029475E" w:rsidRDefault="007A3562" w:rsidP="00294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7A3562" w:rsidRDefault="007A3562" w:rsidP="002947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Критерии оценки </w:t>
      </w:r>
    </w:p>
    <w:p w:rsidR="007A3562" w:rsidRDefault="007A3562" w:rsidP="0029475E">
      <w:pPr>
        <w:spacing w:after="0" w:line="240" w:lineRule="auto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3536"/>
        <w:gridCol w:w="5818"/>
      </w:tblGrid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7A3562" w:rsidRDefault="0029475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7A3562">
        <w:rPr>
          <w:rFonts w:ascii="Times New Roman" w:hAnsi="Times New Roman"/>
          <w:color w:val="000000"/>
          <w:sz w:val="28"/>
          <w:szCs w:val="28"/>
        </w:rPr>
        <w:t>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7A3562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="007A3562">
        <w:rPr>
          <w:rFonts w:ascii="Times New Roman" w:hAnsi="Times New Roman"/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7A3562" w:rsidRDefault="007A356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академическом концерте</w:t>
      </w:r>
      <w:r w:rsidR="000E4245">
        <w:rPr>
          <w:rFonts w:ascii="Times New Roman" w:eastAsia="Geeza Pro" w:hAnsi="Times New Roman"/>
          <w:color w:val="000000"/>
          <w:sz w:val="28"/>
          <w:szCs w:val="28"/>
        </w:rPr>
        <w:t>, зачете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или экзамене;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7A3562" w:rsidRDefault="007A3562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7A3562" w:rsidRDefault="007A3562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ОБРАЗОВАТЕЛЬНОГО ПРОЦЕССА</w:t>
      </w:r>
    </w:p>
    <w:p w:rsidR="007A3562" w:rsidRDefault="007A3562" w:rsidP="000E4245">
      <w:pPr>
        <w:spacing w:after="0" w:line="360" w:lineRule="auto"/>
        <w:ind w:firstLine="69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кларнете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7A3562" w:rsidRDefault="007A3562">
      <w:pPr>
        <w:shd w:val="clear" w:color="auto" w:fill="FFFFFF"/>
        <w:tabs>
          <w:tab w:val="left" w:pos="889"/>
        </w:tabs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7A3562" w:rsidRDefault="007A3562" w:rsidP="000E4245">
      <w:pPr>
        <w:spacing w:after="0" w:line="360" w:lineRule="auto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Количество часов самостоятельных занятий</w:t>
      </w:r>
      <w:r w:rsidR="00FD67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неделю: от двух до четырех.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7A3562" w:rsidRDefault="007A3562">
      <w:pPr>
        <w:pStyle w:val="21"/>
        <w:numPr>
          <w:ilvl w:val="2"/>
          <w:numId w:val="12"/>
        </w:numPr>
        <w:spacing w:line="360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</w:t>
      </w:r>
      <w:proofErr w:type="gramStart"/>
      <w:r>
        <w:rPr>
          <w:rFonts w:eastAsia="Calibri"/>
          <w:sz w:val="28"/>
          <w:szCs w:val="28"/>
        </w:rPr>
        <w:t>над</w:t>
      </w:r>
      <w:proofErr w:type="gramEnd"/>
      <w:r>
        <w:rPr>
          <w:rFonts w:eastAsia="Calibri"/>
          <w:sz w:val="28"/>
          <w:szCs w:val="28"/>
        </w:rPr>
        <w:t xml:space="preserve"> чем ему работать дома. Задачи должны быть кратко и ясно сформулированы в дневнике.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упражнения для развития звука (выдержанные ноты);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Для успешной реализации программы «Специальность (кларнет)»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7A3562" w:rsidRDefault="007A3562">
      <w:pPr>
        <w:pStyle w:val="21"/>
        <w:spacing w:line="360" w:lineRule="auto"/>
        <w:ind w:firstLine="706"/>
        <w:jc w:val="both"/>
        <w:rPr>
          <w:sz w:val="28"/>
          <w:szCs w:val="28"/>
        </w:rPr>
      </w:pPr>
    </w:p>
    <w:p w:rsidR="007A3562" w:rsidRDefault="007A3562">
      <w:pPr>
        <w:pStyle w:val="21"/>
        <w:ind w:firstLine="706"/>
        <w:jc w:val="both"/>
        <w:rPr>
          <w:sz w:val="24"/>
        </w:rPr>
      </w:pPr>
    </w:p>
    <w:p w:rsidR="007A3562" w:rsidRDefault="007A35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ученика-кларнетиста: Учебно-педагогический репертуар для ДМШ / сост. </w:t>
      </w:r>
      <w:proofErr w:type="spellStart"/>
      <w:r>
        <w:rPr>
          <w:rFonts w:ascii="Times New Roman" w:hAnsi="Times New Roman"/>
          <w:sz w:val="28"/>
          <w:szCs w:val="28"/>
        </w:rPr>
        <w:t>Н.Тимоха</w:t>
      </w:r>
      <w:proofErr w:type="spellEnd"/>
      <w:r>
        <w:rPr>
          <w:rFonts w:ascii="Times New Roman" w:hAnsi="Times New Roman"/>
          <w:sz w:val="28"/>
          <w:szCs w:val="28"/>
        </w:rPr>
        <w:t>. Киев,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танец. Для кларнета и фортепиано. М.,1959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Концерт № 1 для кларнета и фортепиано. М., 1969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Двенадцать пьес для кларнета и фортепиано. </w:t>
      </w:r>
      <w:proofErr w:type="spellStart"/>
      <w:r>
        <w:rPr>
          <w:rFonts w:ascii="Times New Roman" w:hAnsi="Times New Roman"/>
          <w:sz w:val="28"/>
          <w:szCs w:val="28"/>
        </w:rPr>
        <w:t>Тетр</w:t>
      </w:r>
      <w:proofErr w:type="spellEnd"/>
      <w:r>
        <w:rPr>
          <w:rFonts w:ascii="Times New Roman" w:hAnsi="Times New Roman"/>
          <w:sz w:val="28"/>
          <w:szCs w:val="28"/>
        </w:rPr>
        <w:t xml:space="preserve"> I. М.,1952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Гезонцвей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Пятьдесят легких этюдов для кларнета. Киев, 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Гофман Р. Сорок этюдов для кларнета. М., 1948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Школа игры на кларнете для ДМШ. Киев, 1965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Этюды дли кларнета: Учебный репертуар для ДМШ.  Киев, 1977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Десять пьес русских композиторов: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А.Семенова. М.,1962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Школа игры на кларнете системы </w:t>
      </w:r>
      <w:proofErr w:type="spellStart"/>
      <w:r>
        <w:rPr>
          <w:rFonts w:ascii="Times New Roman" w:hAnsi="Times New Roman"/>
          <w:sz w:val="28"/>
          <w:szCs w:val="28"/>
        </w:rPr>
        <w:t>Т.Вома</w:t>
      </w:r>
      <w:proofErr w:type="spellEnd"/>
      <w:r>
        <w:rPr>
          <w:rFonts w:ascii="Times New Roman" w:hAnsi="Times New Roman"/>
          <w:sz w:val="28"/>
          <w:szCs w:val="28"/>
        </w:rPr>
        <w:t>. М.,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Этюды для кларнета. М., 1964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библиотека педагогического репертуара для кларнета / сост. В.Воронина, М., 2006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«Тридцать этюдов» для кларнета. М., 2004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 для кларнета и фортепиано. М,, 1930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Этюды для кларнета. Тетради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 М., 1965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пьесы для кларнета и фортепиано. Педагогический репертуар для учащихся 1-2 классов ДМШ / сост. </w:t>
      </w:r>
      <w:proofErr w:type="spellStart"/>
      <w:r>
        <w:rPr>
          <w:rFonts w:ascii="Times New Roman" w:hAnsi="Times New Roman"/>
          <w:sz w:val="28"/>
          <w:szCs w:val="28"/>
        </w:rPr>
        <w:t>П.Тимоха</w:t>
      </w:r>
      <w:proofErr w:type="spellEnd"/>
      <w:r>
        <w:rPr>
          <w:rFonts w:ascii="Times New Roman" w:hAnsi="Times New Roman"/>
          <w:sz w:val="28"/>
          <w:szCs w:val="28"/>
        </w:rPr>
        <w:t>. Киев,1972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пьесы для кларнета и фортепиано/ сост. </w:t>
      </w:r>
      <w:proofErr w:type="spellStart"/>
      <w:r>
        <w:rPr>
          <w:rFonts w:ascii="Times New Roman" w:hAnsi="Times New Roman"/>
          <w:sz w:val="28"/>
          <w:szCs w:val="28"/>
        </w:rPr>
        <w:t>П.Тимоха</w:t>
      </w:r>
      <w:proofErr w:type="spellEnd"/>
      <w:r>
        <w:rPr>
          <w:rFonts w:ascii="Times New Roman" w:hAnsi="Times New Roman"/>
          <w:sz w:val="28"/>
          <w:szCs w:val="28"/>
        </w:rPr>
        <w:t xml:space="preserve"> М, 1968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Наврузов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Пособие для начального обучения игре на кларнете с двух систем: Для ДМШ. Баку,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Л. Баллада для кларнета и фортепиано. М., 1980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Постикяп</w:t>
      </w:r>
      <w:proofErr w:type="spellEnd"/>
      <w:r>
        <w:rPr>
          <w:rFonts w:ascii="Times New Roman" w:hAnsi="Times New Roman"/>
          <w:sz w:val="28"/>
          <w:szCs w:val="28"/>
        </w:rPr>
        <w:t xml:space="preserve"> В. Школа игры на кларнете. Ереван, 1976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кларнета и фортепиано: Хрестоматия по аккомпанементу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В.Березовский. М., 1950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для кларнета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фортепиано/ сост. </w:t>
      </w:r>
      <w:proofErr w:type="spellStart"/>
      <w:r>
        <w:rPr>
          <w:rFonts w:ascii="Times New Roman" w:hAnsi="Times New Roman"/>
          <w:sz w:val="28"/>
          <w:szCs w:val="28"/>
        </w:rPr>
        <w:t>И.Мозговенко</w:t>
      </w:r>
      <w:proofErr w:type="spellEnd"/>
      <w:r>
        <w:rPr>
          <w:rFonts w:ascii="Times New Roman" w:hAnsi="Times New Roman"/>
          <w:sz w:val="28"/>
          <w:szCs w:val="28"/>
        </w:rPr>
        <w:t>. М.,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пьес русских композиторов/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М.Трибуха</w:t>
      </w:r>
      <w:proofErr w:type="spellEnd"/>
      <w:r>
        <w:rPr>
          <w:rFonts w:ascii="Times New Roman" w:hAnsi="Times New Roman"/>
          <w:sz w:val="28"/>
          <w:szCs w:val="28"/>
        </w:rPr>
        <w:t>. М., 1959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Концертное соло для кларнета и фортепиано. Киев, 1980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П. Соната №1 Для кларнета и фортепиано. М., 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Раков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: Концертная фантазия (из сборника "'Пьесы советских композиторов" для кларнета и фортепиано). М.,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Римский-Корсаков Н. Концерт для кларнета и духового оркестра. М.,1975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 / под ред. В.Петрова. Ч. 1. М.,1978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Розанов С. Школа игры на кларнете / под ред. В.Петрова. Ч. II. М.,1979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па кларнете, 7-е изд. М., 1908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"Кларнет". Издательство Музыкальная Украина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легких пьес русских и зарубежных композиторов: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для кларнета и фортепиано. Н.Смагина. М., 1965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для кларнета / под ред. Н.Рогинского. Л., 1952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русских композиторов для кларнета и фортепиано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Штарк А. М., 1956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 пьес русских композиторов/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для кларнета и фортепиано Семенова А. М., 1960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Г., Фельдман 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Избранные пьесы для кларнета. М.,1954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Я. Концерт для кларнета и фортепиано: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Мюльберга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К. Киев, 1974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Тимоха</w:t>
      </w:r>
      <w:proofErr w:type="spellEnd"/>
      <w:r>
        <w:rPr>
          <w:rFonts w:ascii="Times New Roman" w:hAnsi="Times New Roman"/>
          <w:sz w:val="28"/>
          <w:szCs w:val="28"/>
        </w:rPr>
        <w:t xml:space="preserve"> Н. Начальная школа игры на кларнете. Киев,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1-2 классы ДМШ / сост. С. </w:t>
      </w:r>
      <w:proofErr w:type="spellStart"/>
      <w:r>
        <w:rPr>
          <w:rFonts w:ascii="Times New Roman" w:hAnsi="Times New Roman"/>
          <w:sz w:val="28"/>
          <w:szCs w:val="28"/>
        </w:rPr>
        <w:t>Гезенцвей</w:t>
      </w:r>
      <w:proofErr w:type="spellEnd"/>
      <w:r>
        <w:rPr>
          <w:rFonts w:ascii="Times New Roman" w:hAnsi="Times New Roman"/>
          <w:sz w:val="28"/>
          <w:szCs w:val="28"/>
        </w:rPr>
        <w:t>,  Жученко А. Киев,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2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Гезенцвей</w:t>
      </w:r>
      <w:proofErr w:type="spellEnd"/>
      <w:r>
        <w:rPr>
          <w:rFonts w:ascii="Times New Roman" w:hAnsi="Times New Roman"/>
          <w:sz w:val="28"/>
          <w:szCs w:val="28"/>
        </w:rPr>
        <w:t xml:space="preserve"> С., Жученко А. Киев, 1975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3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Гезенцвсй</w:t>
      </w:r>
      <w:proofErr w:type="spellEnd"/>
      <w:r>
        <w:rPr>
          <w:rFonts w:ascii="Times New Roman" w:hAnsi="Times New Roman"/>
          <w:sz w:val="28"/>
          <w:szCs w:val="28"/>
        </w:rPr>
        <w:t xml:space="preserve"> С., Жученко А. Киев, 1976.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4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Гезенцвсй</w:t>
      </w:r>
      <w:proofErr w:type="spellEnd"/>
      <w:r>
        <w:rPr>
          <w:rFonts w:ascii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/>
          <w:sz w:val="28"/>
          <w:szCs w:val="28"/>
        </w:rPr>
        <w:t>Жучснко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Киев, 1977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5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Гезенцвей</w:t>
      </w:r>
      <w:proofErr w:type="spellEnd"/>
      <w:r>
        <w:rPr>
          <w:rFonts w:ascii="Times New Roman" w:hAnsi="Times New Roman"/>
          <w:sz w:val="28"/>
          <w:szCs w:val="28"/>
        </w:rPr>
        <w:t xml:space="preserve"> С., Жученко А. Киев, 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кларнета. 1-3 классы ДМШ/сост.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кларнета. 4-5  классы ДМШ /сост.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кларнета. 3, 4 классы ДМШ / 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1982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Хрестоматия для кларнета: 1, 2 классы ДМШ (Пьесы, ансамбли) / сост. Штарк А.,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М., 1977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кларнета: 1, 2 классы ДМШ / сост. Штарк А.,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М..  М., 1981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педагогического репертуара для кларнета / сост. Зубарев С., С.-П., 2010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кларнета. 1, 2 классы ДМШ, Ч. 1 / Сост. Штарк А.,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1970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 для кларнета /сост. Штарк А. М. 1956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 для кларнета /сост. В Блок,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1976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ДМШ. Ч. II: 3, 4 классы / 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1970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 Осенняя песня: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для кларнета и фортепиано. М.,1949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30 этюдов для кларнета. Рига,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легких этюдов для кларнета. М., 1954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 для кларнета. М., 1950</w:t>
      </w:r>
    </w:p>
    <w:p w:rsidR="007A3562" w:rsidRDefault="007A3562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7A3562" w:rsidRDefault="007A3562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7A3562" w:rsidRDefault="007A3562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6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В.Н. О совершенствовании методов музыкально-исполнительской </w:t>
      </w:r>
      <w:r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>
        <w:rPr>
          <w:rFonts w:ascii="Times New Roman" w:hAnsi="Times New Roman"/>
          <w:sz w:val="28"/>
          <w:szCs w:val="28"/>
        </w:rPr>
        <w:t>1986. С.24-39;</w:t>
      </w:r>
      <w:r>
        <w:rPr>
          <w:rFonts w:ascii="Times New Roman" w:hAnsi="Times New Roman"/>
          <w:spacing w:val="-3"/>
          <w:sz w:val="28"/>
          <w:szCs w:val="28"/>
        </w:rPr>
        <w:t xml:space="preserve"> 1983.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 4. С. 6-19</w:t>
      </w:r>
    </w:p>
    <w:p w:rsidR="007A3562" w:rsidRDefault="007A356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Опыт экспериментального исследования дыхания и амбушюра </w:t>
      </w:r>
      <w:r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4. М., 1976. </w:t>
      </w:r>
      <w:r>
        <w:rPr>
          <w:rFonts w:ascii="Times New Roman" w:hAnsi="Times New Roman"/>
          <w:sz w:val="28"/>
          <w:szCs w:val="28"/>
        </w:rPr>
        <w:t>С.11-31.</w:t>
      </w:r>
    </w:p>
    <w:p w:rsidR="007A3562" w:rsidRDefault="007A356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Л.Г. Проблема взаимосвязи музыкально-слуховых представлений и </w:t>
      </w:r>
      <w:r>
        <w:rPr>
          <w:rFonts w:ascii="Times New Roman" w:hAnsi="Times New Roman"/>
          <w:sz w:val="28"/>
          <w:szCs w:val="28"/>
        </w:rPr>
        <w:t xml:space="preserve">музыкально-двигательных навыков.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канд. </w:t>
      </w:r>
      <w:r>
        <w:rPr>
          <w:rFonts w:ascii="Times New Roman" w:hAnsi="Times New Roman"/>
          <w:sz w:val="28"/>
          <w:szCs w:val="28"/>
        </w:rPr>
        <w:lastRenderedPageBreak/>
        <w:t>искусствоведения. М., 1971</w:t>
      </w:r>
    </w:p>
    <w:p w:rsidR="007A3562" w:rsidRDefault="007A3562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Асафьев Б. Музыкальная форма как процесс. Т. 1, 2. 2-е изд. Л., 1971. 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>
        <w:rPr>
          <w:rFonts w:ascii="Times New Roman" w:hAnsi="Times New Roman"/>
          <w:sz w:val="28"/>
          <w:szCs w:val="28"/>
        </w:rPr>
        <w:t>Киев, 1956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>
        <w:rPr>
          <w:rFonts w:ascii="Times New Roman" w:hAnsi="Times New Roman"/>
          <w:spacing w:val="-2"/>
          <w:sz w:val="28"/>
          <w:szCs w:val="28"/>
        </w:rPr>
        <w:t xml:space="preserve">(флейта, гобой, кларнет, валторна, фагот) / Вопросы музыкальной педагогики.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10. М., 1991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Волков Н.В. Основы управления звучанием при игре на кларнете.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Дис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канд. </w:t>
      </w:r>
      <w:r>
        <w:rPr>
          <w:rFonts w:ascii="Times New Roman" w:hAnsi="Times New Roman"/>
          <w:sz w:val="28"/>
          <w:szCs w:val="28"/>
        </w:rPr>
        <w:t>искусствоведения. М., 1987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Проблемы и методы эффективного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обучения музыканта-духовика / </w:t>
      </w:r>
      <w:r>
        <w:rPr>
          <w:rFonts w:ascii="Times New Roman" w:hAnsi="Times New Roman"/>
          <w:spacing w:val="-5"/>
          <w:sz w:val="28"/>
          <w:szCs w:val="28"/>
        </w:rPr>
        <w:t>Проблемы педагогической подготовки студентов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в контексте среднего и высшего </w:t>
      </w:r>
      <w:r>
        <w:rPr>
          <w:rFonts w:ascii="Times New Roman" w:hAnsi="Times New Roman"/>
          <w:sz w:val="28"/>
          <w:szCs w:val="28"/>
        </w:rPr>
        <w:t xml:space="preserve">музыкального образования. Материалы научно-практической конференции. М., 1997. С 45-47. 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  <w:r>
        <w:rPr>
          <w:rFonts w:ascii="Times New Roman" w:hAnsi="Times New Roman"/>
          <w:spacing w:val="-18"/>
          <w:sz w:val="28"/>
          <w:szCs w:val="28"/>
        </w:rPr>
        <w:t>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Частотная характеристика трости язычковых духовых инструментов и </w:t>
      </w:r>
      <w:r>
        <w:rPr>
          <w:rFonts w:ascii="Times New Roman" w:hAnsi="Times New Roman"/>
          <w:sz w:val="28"/>
          <w:szCs w:val="28"/>
        </w:rPr>
        <w:t>задача исполнителя по ее управлению. М.,1983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Волков Н.В. Экспериментальное исследование некоторых факторов процесса </w:t>
      </w:r>
      <w:r>
        <w:rPr>
          <w:rFonts w:ascii="Times New Roman" w:hAnsi="Times New Roman"/>
          <w:sz w:val="28"/>
          <w:szCs w:val="28"/>
        </w:rPr>
        <w:t xml:space="preserve">звукообразования (на язычковых духовых инструментах). / Актуальные вопросы </w:t>
      </w:r>
      <w:r>
        <w:rPr>
          <w:rFonts w:ascii="Times New Roman" w:hAnsi="Times New Roman"/>
          <w:spacing w:val="-1"/>
          <w:sz w:val="28"/>
          <w:szCs w:val="28"/>
        </w:rPr>
        <w:t xml:space="preserve">теории и практики исполнительства на духовых инструментах. Сборник трудов.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 w:rsidR="00D931D6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80. 1985. </w:t>
      </w:r>
      <w:r>
        <w:rPr>
          <w:rFonts w:ascii="Times New Roman" w:hAnsi="Times New Roman"/>
          <w:sz w:val="28"/>
          <w:szCs w:val="28"/>
        </w:rPr>
        <w:t>С. 50-75.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тембра звука /. </w:t>
      </w:r>
      <w:r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1970. С. 11-38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</w:t>
      </w:r>
      <w:r>
        <w:rPr>
          <w:rFonts w:ascii="Times New Roman" w:hAnsi="Times New Roman"/>
          <w:sz w:val="28"/>
          <w:szCs w:val="28"/>
        </w:rPr>
        <w:lastRenderedPageBreak/>
        <w:t xml:space="preserve">музыканта-исполнителя /Вопросы музыкальной педагогики.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7, М.,  1986. С. 65-81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Диков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Б. Методика обучения игре на кларнете. М., 1983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Б. О дыхании при игре на духовых инструментах. М.,1956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 С.43-54.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Зис</w:t>
      </w:r>
      <w:proofErr w:type="spellEnd"/>
      <w:r>
        <w:rPr>
          <w:rFonts w:ascii="Times New Roman" w:hAnsi="Times New Roman"/>
          <w:sz w:val="28"/>
          <w:szCs w:val="28"/>
        </w:rPr>
        <w:t xml:space="preserve"> А.Я. Исполнительство на духовых инструментах (история и методика). Киев, 1986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20. Исполнительство на духовых инструментах и вопросы музыкальной педагогики. Сборник </w:t>
      </w:r>
      <w:r>
        <w:rPr>
          <w:rFonts w:ascii="Times New Roman" w:hAnsi="Times New Roman"/>
          <w:sz w:val="28"/>
          <w:szCs w:val="28"/>
        </w:rPr>
        <w:t xml:space="preserve">трудов.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45. М., 1979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21. Комплексный подход к проблемам музыкального образования. Сборник трудов. М., 1986 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>
        <w:rPr>
          <w:rFonts w:ascii="Times New Roman" w:hAnsi="Times New Roman"/>
          <w:sz w:val="28"/>
          <w:szCs w:val="28"/>
        </w:rPr>
        <w:t>проблемы. М., 1998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Маркова Е.Н.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искусства. Киев, 1990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Р.А.. Исполнительство на кларнете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-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вв.). Источниковедение. Историография: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доктора искусствоведения. М., 1997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М., 1988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И.П. Гаммы как основа исполнительского мастерства кларнетиста/ </w:t>
      </w:r>
      <w:r>
        <w:rPr>
          <w:rFonts w:ascii="Times New Roman" w:hAnsi="Times New Roman"/>
          <w:sz w:val="28"/>
          <w:szCs w:val="28"/>
        </w:rPr>
        <w:t xml:space="preserve">Исполнительство на духовых инструментах и вопросы музыкальной педагогики. Сборник трудов.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45. М., 1979. С 101-119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Мюльберг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К.Э. Исследование некоторых компонентов техники кларнетиста (</w:t>
      </w:r>
      <w:r>
        <w:rPr>
          <w:rFonts w:ascii="Times New Roman" w:hAnsi="Times New Roman"/>
          <w:spacing w:val="-4"/>
          <w:sz w:val="28"/>
          <w:szCs w:val="28"/>
        </w:rPr>
        <w:t xml:space="preserve">дыхание, напряжение губ, реакция трости, выразительность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штриха, легато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канд. искусствоведения. Киев, 1978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Работа над чистотой строя на духовых инструментах (методические рекомендации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Минск, 1982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Рагс</w:t>
      </w:r>
      <w:proofErr w:type="spellEnd"/>
      <w:r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Труды </w:t>
      </w:r>
      <w:r>
        <w:rPr>
          <w:rFonts w:ascii="Times New Roman" w:hAnsi="Times New Roman"/>
          <w:spacing w:val="-3"/>
          <w:sz w:val="28"/>
          <w:szCs w:val="28"/>
        </w:rPr>
        <w:t xml:space="preserve">кафедры теории музыки. Московская государственная консерватория имени П.И. Чайковского. М., 1960.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 1. С. 338-355.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Сборник трудов.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103, М., 1990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игры на духовых инс</w:t>
      </w:r>
      <w:r w:rsidR="00FD675E">
        <w:rPr>
          <w:rFonts w:ascii="Times New Roman" w:hAnsi="Times New Roman"/>
          <w:sz w:val="28"/>
          <w:szCs w:val="28"/>
        </w:rPr>
        <w:t>трументах. Сборник статей. Киев</w:t>
      </w:r>
      <w:r>
        <w:rPr>
          <w:rFonts w:ascii="Times New Roman" w:hAnsi="Times New Roman"/>
          <w:sz w:val="28"/>
          <w:szCs w:val="28"/>
        </w:rPr>
        <w:t>, 1989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>
        <w:rPr>
          <w:rFonts w:ascii="Times New Roman" w:hAnsi="Times New Roman"/>
          <w:sz w:val="28"/>
          <w:szCs w:val="28"/>
        </w:rPr>
        <w:t>1986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p w:rsidR="007A3562" w:rsidRPr="000B0B05" w:rsidRDefault="000B0B05" w:rsidP="000B0B05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Федотов А.А. О выразительных средствах кларнетиста в работе над музыкальным </w:t>
      </w:r>
      <w:r>
        <w:rPr>
          <w:rFonts w:ascii="Times New Roman" w:hAnsi="Times New Roman"/>
          <w:sz w:val="28"/>
          <w:szCs w:val="28"/>
        </w:rPr>
        <w:t xml:space="preserve">образом. Сборник статей.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4., М., С.86-109</w:t>
      </w:r>
    </w:p>
    <w:sectPr w:rsidR="007A3562" w:rsidRPr="000B0B05" w:rsidSect="007A4DA2">
      <w:footerReference w:type="default" r:id="rId8"/>
      <w:pgSz w:w="11906" w:h="16838"/>
      <w:pgMar w:top="1134" w:right="850" w:bottom="1418" w:left="1701" w:header="720" w:footer="555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07" w:rsidRDefault="00E62807">
      <w:pPr>
        <w:spacing w:after="0" w:line="240" w:lineRule="auto"/>
      </w:pPr>
      <w:r>
        <w:separator/>
      </w:r>
    </w:p>
  </w:endnote>
  <w:endnote w:type="continuationSeparator" w:id="0">
    <w:p w:rsidR="00E62807" w:rsidRDefault="00E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3508"/>
      <w:docPartObj>
        <w:docPartGallery w:val="Page Numbers (Bottom of Page)"/>
        <w:docPartUnique/>
      </w:docPartObj>
    </w:sdtPr>
    <w:sdtContent>
      <w:p w:rsidR="0029475E" w:rsidRDefault="006F1D4E">
        <w:pPr>
          <w:pStyle w:val="ae"/>
          <w:jc w:val="center"/>
        </w:pPr>
        <w:fldSimple w:instr=" PAGE   \* MERGEFORMAT ">
          <w:r w:rsidR="00685A37">
            <w:rPr>
              <w:noProof/>
            </w:rPr>
            <w:t>2</w:t>
          </w:r>
        </w:fldSimple>
      </w:p>
    </w:sdtContent>
  </w:sdt>
  <w:p w:rsidR="0029475E" w:rsidRDefault="0029475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62" w:rsidRDefault="006F1D4E" w:rsidP="00DB79F6">
    <w:pPr>
      <w:pStyle w:val="ae"/>
      <w:tabs>
        <w:tab w:val="clear" w:pos="4677"/>
        <w:tab w:val="clear" w:pos="9355"/>
        <w:tab w:val="left" w:pos="5352"/>
      </w:tabs>
      <w:jc w:val="center"/>
    </w:pPr>
    <w:fldSimple w:instr=" PAGE ">
      <w:r w:rsidR="00685A3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07" w:rsidRDefault="00E62807">
      <w:pPr>
        <w:spacing w:after="0" w:line="240" w:lineRule="auto"/>
      </w:pPr>
      <w:r>
        <w:separator/>
      </w:r>
    </w:p>
  </w:footnote>
  <w:footnote w:type="continuationSeparator" w:id="0">
    <w:p w:rsidR="00E62807" w:rsidRDefault="00E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0ED9"/>
    <w:rsid w:val="00061CCE"/>
    <w:rsid w:val="000B0B05"/>
    <w:rsid w:val="000D2E86"/>
    <w:rsid w:val="000E4245"/>
    <w:rsid w:val="000F7F4A"/>
    <w:rsid w:val="00140FFD"/>
    <w:rsid w:val="00204857"/>
    <w:rsid w:val="00225FC4"/>
    <w:rsid w:val="00233AD8"/>
    <w:rsid w:val="002525F8"/>
    <w:rsid w:val="0029475E"/>
    <w:rsid w:val="002A0DC5"/>
    <w:rsid w:val="002C0DF7"/>
    <w:rsid w:val="002C30EF"/>
    <w:rsid w:val="00303E73"/>
    <w:rsid w:val="00327D05"/>
    <w:rsid w:val="0037780B"/>
    <w:rsid w:val="003A4435"/>
    <w:rsid w:val="003B7F8E"/>
    <w:rsid w:val="003E52BD"/>
    <w:rsid w:val="00426B57"/>
    <w:rsid w:val="00473C70"/>
    <w:rsid w:val="00530ED9"/>
    <w:rsid w:val="005532EA"/>
    <w:rsid w:val="005A578A"/>
    <w:rsid w:val="005C27AE"/>
    <w:rsid w:val="0065358F"/>
    <w:rsid w:val="00685A37"/>
    <w:rsid w:val="006C53C2"/>
    <w:rsid w:val="006F1D4E"/>
    <w:rsid w:val="00746C47"/>
    <w:rsid w:val="007740AA"/>
    <w:rsid w:val="00774FDA"/>
    <w:rsid w:val="00780EF8"/>
    <w:rsid w:val="00790E10"/>
    <w:rsid w:val="007A3562"/>
    <w:rsid w:val="007A4DA2"/>
    <w:rsid w:val="007C1E44"/>
    <w:rsid w:val="007E1FB0"/>
    <w:rsid w:val="00801BFB"/>
    <w:rsid w:val="00805A50"/>
    <w:rsid w:val="008C2C11"/>
    <w:rsid w:val="008D03FC"/>
    <w:rsid w:val="008F33F0"/>
    <w:rsid w:val="0092052D"/>
    <w:rsid w:val="009A4883"/>
    <w:rsid w:val="009B4646"/>
    <w:rsid w:val="00A447B6"/>
    <w:rsid w:val="00A634E9"/>
    <w:rsid w:val="00AD575A"/>
    <w:rsid w:val="00BB3991"/>
    <w:rsid w:val="00D35F22"/>
    <w:rsid w:val="00D931D6"/>
    <w:rsid w:val="00DB79F6"/>
    <w:rsid w:val="00E62807"/>
    <w:rsid w:val="00E6736E"/>
    <w:rsid w:val="00E713C7"/>
    <w:rsid w:val="00E80614"/>
    <w:rsid w:val="00E9630B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2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2012-04-03T07:07:00Z</cp:lastPrinted>
  <dcterms:created xsi:type="dcterms:W3CDTF">2014-03-21T10:48:00Z</dcterms:created>
  <dcterms:modified xsi:type="dcterms:W3CDTF">2014-05-12T11:58:00Z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